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F4" w:rsidRPr="00B447F4" w:rsidRDefault="00B447F4">
      <w:pPr>
        <w:rPr>
          <w:b/>
        </w:rPr>
      </w:pPr>
      <w:r>
        <w:rPr>
          <w:b/>
        </w:rPr>
        <w:t>MÝTU</w:t>
      </w:r>
      <w:r w:rsidR="00A01C78">
        <w:rPr>
          <w:b/>
        </w:rPr>
        <w:t>S A SKUTEČNOST</w:t>
      </w:r>
      <w:r w:rsidRPr="00B447F4">
        <w:rPr>
          <w:b/>
        </w:rPr>
        <w:t xml:space="preserve"> O </w:t>
      </w:r>
      <w:r w:rsidR="00451B66">
        <w:rPr>
          <w:b/>
        </w:rPr>
        <w:t xml:space="preserve">TOM, </w:t>
      </w:r>
      <w:r w:rsidR="00A01C78">
        <w:rPr>
          <w:b/>
        </w:rPr>
        <w:t>JAK</w:t>
      </w:r>
      <w:r w:rsidR="00451B66">
        <w:rPr>
          <w:b/>
        </w:rPr>
        <w:t xml:space="preserve"> STÁT DOPLÁCÍ NA SOCIÁLNÍ SLUŽBY</w:t>
      </w:r>
    </w:p>
    <w:p w:rsidR="00B447F4" w:rsidRDefault="00B447F4"/>
    <w:p w:rsidR="00A01C78" w:rsidRDefault="00A01C78"/>
    <w:p w:rsidR="00451B66" w:rsidRDefault="00BB320E">
      <w:r>
        <w:t xml:space="preserve">Slyšíme neustále: Je krize a stát musí šetřit. Proto mj. snižuje dotace na sociální služby. Odhlédněme od toho, že jde o lidské bytosti, které potřebují od druhých lidí (od společnosti) pomoc. Odhlédněme od toho, že sociální služby jsou významným zaměstnavatelem. </w:t>
      </w:r>
      <w:r w:rsidR="009C2A48">
        <w:t xml:space="preserve">Zkusme se na věc podívat technicky, jak to vyžaduje stát, který je v krizi a musí šetřit. </w:t>
      </w:r>
    </w:p>
    <w:p w:rsidR="009C2A48" w:rsidRDefault="009C2A48"/>
    <w:p w:rsidR="00311D79" w:rsidRDefault="00311D79" w:rsidP="00311D79">
      <w:r>
        <w:t xml:space="preserve">Dotace na rok 2012 jsou 15 % nižší než vloni a o více než 16,5 % nižší proti roku 2010. </w:t>
      </w:r>
    </w:p>
    <w:p w:rsidR="00311D79" w:rsidRDefault="00311D79"/>
    <w:p w:rsidR="00896977" w:rsidRDefault="009C2A48">
      <w:r>
        <w:t xml:space="preserve">Zde níže je jeden příklad. NADĚJE o.s. </w:t>
      </w:r>
      <w:r w:rsidR="00BD5E6C">
        <w:t xml:space="preserve">patří k větším poskytovatelům sociálních služeb. </w:t>
      </w:r>
      <w:r w:rsidR="00314444">
        <w:t xml:space="preserve">Působí v 10 krajích, ve 20 městech a obcích, má registrovaných 62 sociálních služeb </w:t>
      </w:r>
      <w:r w:rsidR="00896977">
        <w:t xml:space="preserve">pro seniory, pro lidi se zdravotním postižením, pro opuštěné děti, pro lidi bez domova, pracuje také ve vyloučených lokalitách.  </w:t>
      </w:r>
    </w:p>
    <w:p w:rsidR="00896977" w:rsidRDefault="00896977"/>
    <w:p w:rsidR="009C2A48" w:rsidRDefault="00314444">
      <w:r>
        <w:t>Zaměstnává přes 550 zaměstnanců, denně se setkává s</w:t>
      </w:r>
      <w:r w:rsidR="0099333F">
        <w:t> téměř dvěma tisíci</w:t>
      </w:r>
      <w:r>
        <w:t xml:space="preserve"> klientů, pro </w:t>
      </w:r>
      <w:r w:rsidR="006C1AA2">
        <w:t>387</w:t>
      </w:r>
      <w:r>
        <w:t xml:space="preserve"> jsou pobytové služby domovem, </w:t>
      </w:r>
      <w:r w:rsidR="00896977">
        <w:t>další docházejí ambulantně do středisek nebo je pracovníci vyhledávají v terénu, v jejich domácnostech nebo na ulicích.</w:t>
      </w:r>
    </w:p>
    <w:p w:rsidR="00AE26AC" w:rsidRDefault="00AE26AC"/>
    <w:p w:rsidR="00550270" w:rsidRDefault="00447E81">
      <w:r>
        <w:t xml:space="preserve">V roce 2011 dostala NADĚJE o.s. od státu na svou činnost </w:t>
      </w:r>
      <w:r w:rsidRPr="00AB5560">
        <w:rPr>
          <w:b/>
        </w:rPr>
        <w:t>60.058.000 Kč</w:t>
      </w:r>
      <w:r>
        <w:t xml:space="preserve"> a státu zpět vrátila </w:t>
      </w:r>
      <w:r w:rsidRPr="00AB5560">
        <w:rPr>
          <w:b/>
        </w:rPr>
        <w:t>60.325.000 Kč</w:t>
      </w:r>
      <w:r>
        <w:t xml:space="preserve"> na daních a odvodech</w:t>
      </w:r>
      <w:r w:rsidR="00990E25">
        <w:t>, níže jsou přesnější údaje.</w:t>
      </w:r>
    </w:p>
    <w:p w:rsidR="00550270" w:rsidRDefault="00550270"/>
    <w:p w:rsidR="00AE26AC" w:rsidRDefault="003940E5">
      <w:r w:rsidRPr="0055212A">
        <w:rPr>
          <w:b/>
        </w:rPr>
        <w:t>Státu se vrátilo víc peněz, než vydal na dotacích</w:t>
      </w:r>
      <w:r w:rsidR="00550270">
        <w:rPr>
          <w:b/>
        </w:rPr>
        <w:t>!</w:t>
      </w:r>
      <w:r>
        <w:t xml:space="preserve"> </w:t>
      </w:r>
    </w:p>
    <w:p w:rsidR="00AB5560" w:rsidRDefault="00AB5560"/>
    <w:p w:rsidR="002B01B5" w:rsidRDefault="002B01B5">
      <w:r>
        <w:t>*****</w:t>
      </w:r>
    </w:p>
    <w:p w:rsidR="00AB5560" w:rsidRDefault="00AB5560"/>
    <w:p w:rsidR="00990E25" w:rsidRDefault="00C3595F">
      <w:r>
        <w:t xml:space="preserve">Letos je </w:t>
      </w:r>
      <w:r w:rsidR="00990E25">
        <w:t xml:space="preserve">přímo ohroženo </w:t>
      </w:r>
      <w:r w:rsidR="00082108">
        <w:t xml:space="preserve">15 služeb, přímo znamená, že v případě, že nezískají další finance, tak </w:t>
      </w:r>
      <w:r w:rsidR="00F91064">
        <w:t xml:space="preserve">v roce 2012 </w:t>
      </w:r>
      <w:r w:rsidR="00082108">
        <w:t xml:space="preserve">skončí. </w:t>
      </w:r>
      <w:r w:rsidR="00CF3C38">
        <w:t>Znamená to:</w:t>
      </w:r>
    </w:p>
    <w:p w:rsidR="00CF3C38" w:rsidRDefault="00CF3C38"/>
    <w:p w:rsidR="00CF3C38" w:rsidRDefault="00CF3C38" w:rsidP="00337C95">
      <w:pPr>
        <w:pStyle w:val="Odstavecseseznamem"/>
        <w:numPr>
          <w:ilvl w:val="0"/>
          <w:numId w:val="1"/>
        </w:numPr>
      </w:pPr>
      <w:r>
        <w:t xml:space="preserve">130 klientů v domovech </w:t>
      </w:r>
      <w:r w:rsidR="00337C95">
        <w:t>s trvalým bydlištěm, o které se bude tak jako tak někdo postarat</w:t>
      </w:r>
    </w:p>
    <w:p w:rsidR="00337C95" w:rsidRDefault="00337C95" w:rsidP="00337C95">
      <w:pPr>
        <w:pStyle w:val="Odstavecseseznamem"/>
        <w:numPr>
          <w:ilvl w:val="0"/>
          <w:numId w:val="1"/>
        </w:numPr>
      </w:pPr>
      <w:r>
        <w:t xml:space="preserve">72 klientů s mentálním a kombinovaným postižením </w:t>
      </w:r>
      <w:r w:rsidR="005C322A">
        <w:t>ztratí uplatnění v sociálně terapeutických dílnách</w:t>
      </w:r>
      <w:r w:rsidR="00743202">
        <w:t xml:space="preserve"> a zůstanou doma</w:t>
      </w:r>
      <w:r w:rsidR="005C322A">
        <w:t>, nejméně jeden z rodičů nebo jiných příbuzných pravděpodobně bude muset opustit své zaměstnání</w:t>
      </w:r>
    </w:p>
    <w:p w:rsidR="005C322A" w:rsidRDefault="00451992" w:rsidP="00337C95">
      <w:pPr>
        <w:pStyle w:val="Odstavecseseznamem"/>
        <w:numPr>
          <w:ilvl w:val="0"/>
          <w:numId w:val="1"/>
        </w:numPr>
      </w:pPr>
      <w:r>
        <w:t xml:space="preserve">150 dětí a mladých lidí přijde o </w:t>
      </w:r>
      <w:r w:rsidR="00A234DF">
        <w:t>nízkoprahové zařízení pro děti a mládež (budou trávit svůj volný čas pravděpodobně v partách)</w:t>
      </w:r>
    </w:p>
    <w:p w:rsidR="005C322A" w:rsidRDefault="00AD2EE1" w:rsidP="00337C95">
      <w:pPr>
        <w:pStyle w:val="Odstavecseseznamem"/>
        <w:numPr>
          <w:ilvl w:val="0"/>
          <w:numId w:val="1"/>
        </w:numPr>
      </w:pPr>
      <w:r>
        <w:t>pečovatelská služba, která pomáhá 90 klientům v domácnostech, se bude muset redukovat a někteří ze seniorů o pomoc přijdou,</w:t>
      </w:r>
      <w:r w:rsidR="00F91064">
        <w:t xml:space="preserve"> někdo se o ně stejně bude muset starat,</w:t>
      </w:r>
    </w:p>
    <w:p w:rsidR="00AD2EE1" w:rsidRDefault="00AD2EE1" w:rsidP="00337C95">
      <w:pPr>
        <w:pStyle w:val="Odstavecseseznamem"/>
        <w:numPr>
          <w:ilvl w:val="0"/>
          <w:numId w:val="1"/>
        </w:numPr>
      </w:pPr>
      <w:r>
        <w:t>400 bezdomovců ztratí možnost jídla, hygieny a výměny oblečení</w:t>
      </w:r>
      <w:r w:rsidR="00F91064">
        <w:t>.</w:t>
      </w:r>
    </w:p>
    <w:p w:rsidR="00AD2EE1" w:rsidRDefault="00AD2EE1" w:rsidP="00AD2EE1"/>
    <w:p w:rsidR="00AD2EE1" w:rsidRDefault="00AD2EE1" w:rsidP="00AD2EE1">
      <w:r>
        <w:t xml:space="preserve">Kromě toho cca 150 zaměstnanců přijde o práci. Budou nuceni se přihlásit na úřad práce o podporu v nezaměstnanosti a stát za ně bude platit zdravotní pojištění. </w:t>
      </w:r>
    </w:p>
    <w:p w:rsidR="009A162F" w:rsidRDefault="009A162F" w:rsidP="00AD2EE1"/>
    <w:p w:rsidR="009A162F" w:rsidRPr="00BF0398" w:rsidRDefault="009A162F" w:rsidP="00AD2EE1">
      <w:pPr>
        <w:rPr>
          <w:b/>
        </w:rPr>
      </w:pPr>
      <w:r w:rsidRPr="00BF0398">
        <w:rPr>
          <w:b/>
        </w:rPr>
        <w:t>Prosím, je to hospodárné?</w:t>
      </w:r>
    </w:p>
    <w:p w:rsidR="00451B66" w:rsidRPr="00B447F4" w:rsidRDefault="00451B66"/>
    <w:p w:rsidR="00B447F4" w:rsidRPr="00B447F4" w:rsidRDefault="00B447F4"/>
    <w:p w:rsidR="00550270" w:rsidRDefault="00550270">
      <w:pPr>
        <w:jc w:val="left"/>
        <w:rPr>
          <w:b/>
        </w:rPr>
      </w:pPr>
      <w:r>
        <w:rPr>
          <w:b/>
        </w:rPr>
        <w:br w:type="page"/>
      </w:r>
    </w:p>
    <w:p w:rsidR="00C801F4" w:rsidRPr="006D03C1" w:rsidRDefault="00E3084B">
      <w:pPr>
        <w:rPr>
          <w:b/>
        </w:rPr>
      </w:pPr>
      <w:r>
        <w:rPr>
          <w:b/>
        </w:rPr>
        <w:lastRenderedPageBreak/>
        <w:t xml:space="preserve">NADĚJE – </w:t>
      </w:r>
      <w:r w:rsidR="001D4771" w:rsidRPr="006D03C1">
        <w:rPr>
          <w:b/>
        </w:rPr>
        <w:t>Porovnání</w:t>
      </w:r>
      <w:r>
        <w:rPr>
          <w:b/>
        </w:rPr>
        <w:t xml:space="preserve"> </w:t>
      </w:r>
      <w:r w:rsidR="001D4771" w:rsidRPr="006D03C1">
        <w:rPr>
          <w:b/>
        </w:rPr>
        <w:t>dotací a odvodů za rok 2011</w:t>
      </w:r>
    </w:p>
    <w:p w:rsidR="001D4771" w:rsidRDefault="001D4771"/>
    <w:p w:rsidR="001D4771" w:rsidRDefault="006D03C1">
      <w:r>
        <w:t>Státní dotace:</w:t>
      </w:r>
    </w:p>
    <w:p w:rsidR="006D03C1" w:rsidRDefault="006D03C1"/>
    <w:tbl>
      <w:tblPr>
        <w:tblW w:w="45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92"/>
        <w:gridCol w:w="1559"/>
      </w:tblGrid>
      <w:tr w:rsidR="006D03C1" w:rsidRPr="00447F37" w:rsidTr="006D03C1">
        <w:trPr>
          <w:trHeight w:val="25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6D03C1" w:rsidRPr="00447F37" w:rsidRDefault="006D03C1" w:rsidP="008C41FD">
            <w:pPr>
              <w:rPr>
                <w:rFonts w:asciiTheme="minorHAnsi" w:hAnsiTheme="minorHAnsi" w:cs="Arial"/>
                <w:sz w:val="22"/>
                <w:lang w:eastAsia="cs-CZ"/>
              </w:rPr>
            </w:pPr>
            <w:r w:rsidRPr="00447F37">
              <w:rPr>
                <w:rFonts w:asciiTheme="minorHAnsi" w:hAnsiTheme="minorHAnsi" w:cs="Arial"/>
                <w:sz w:val="22"/>
                <w:lang w:eastAsia="cs-CZ"/>
              </w:rPr>
              <w:t>dotace MPSV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03C1" w:rsidRPr="00447F37" w:rsidRDefault="006D03C1" w:rsidP="008C41FD">
            <w:pPr>
              <w:jc w:val="right"/>
              <w:rPr>
                <w:rFonts w:asciiTheme="minorHAnsi" w:hAnsiTheme="minorHAnsi" w:cs="Arial"/>
                <w:sz w:val="22"/>
                <w:lang w:eastAsia="cs-CZ"/>
              </w:rPr>
            </w:pPr>
            <w:r w:rsidRPr="00447F37">
              <w:rPr>
                <w:rFonts w:asciiTheme="minorHAnsi" w:hAnsiTheme="minorHAnsi" w:cs="Arial"/>
                <w:sz w:val="22"/>
                <w:lang w:eastAsia="cs-CZ"/>
              </w:rPr>
              <w:t>57 435 100</w:t>
            </w:r>
          </w:p>
        </w:tc>
      </w:tr>
      <w:tr w:rsidR="006D03C1" w:rsidRPr="00447F37" w:rsidTr="006D03C1">
        <w:trPr>
          <w:trHeight w:val="25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6D03C1" w:rsidRPr="00447F37" w:rsidRDefault="006D03C1" w:rsidP="008C41FD">
            <w:pPr>
              <w:rPr>
                <w:rFonts w:asciiTheme="minorHAnsi" w:hAnsiTheme="minorHAnsi" w:cs="Arial"/>
                <w:sz w:val="22"/>
                <w:lang w:eastAsia="cs-CZ"/>
              </w:rPr>
            </w:pPr>
            <w:r w:rsidRPr="00447F37">
              <w:rPr>
                <w:rFonts w:asciiTheme="minorHAnsi" w:hAnsiTheme="minorHAnsi" w:cs="Arial"/>
                <w:sz w:val="22"/>
                <w:lang w:eastAsia="cs-CZ"/>
              </w:rPr>
              <w:t>dotace ostatní ministerstva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03C1" w:rsidRPr="00447F37" w:rsidRDefault="006D03C1" w:rsidP="008C41FD">
            <w:pPr>
              <w:jc w:val="right"/>
              <w:rPr>
                <w:rFonts w:asciiTheme="minorHAnsi" w:hAnsiTheme="minorHAnsi" w:cs="Arial"/>
                <w:sz w:val="22"/>
                <w:lang w:eastAsia="cs-CZ"/>
              </w:rPr>
            </w:pPr>
            <w:r w:rsidRPr="00447F37">
              <w:rPr>
                <w:rFonts w:asciiTheme="minorHAnsi" w:hAnsiTheme="minorHAnsi" w:cs="Arial"/>
                <w:sz w:val="22"/>
                <w:lang w:eastAsia="cs-CZ"/>
              </w:rPr>
              <w:t>777 000</w:t>
            </w:r>
          </w:p>
        </w:tc>
      </w:tr>
      <w:tr w:rsidR="006D03C1" w:rsidRPr="00447F37" w:rsidTr="006D03C1">
        <w:trPr>
          <w:trHeight w:val="25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6D03C1" w:rsidRPr="00447F37" w:rsidRDefault="006D03C1" w:rsidP="008C41FD">
            <w:pPr>
              <w:rPr>
                <w:rFonts w:asciiTheme="minorHAnsi" w:hAnsiTheme="minorHAnsi" w:cs="Arial"/>
                <w:sz w:val="22"/>
                <w:lang w:eastAsia="cs-CZ"/>
              </w:rPr>
            </w:pPr>
            <w:r w:rsidRPr="00447F37">
              <w:rPr>
                <w:rFonts w:asciiTheme="minorHAnsi" w:hAnsiTheme="minorHAnsi" w:cs="Arial"/>
                <w:sz w:val="22"/>
                <w:lang w:eastAsia="cs-CZ"/>
              </w:rPr>
              <w:t>dotace úřady práce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03C1" w:rsidRPr="00447F37" w:rsidRDefault="006D03C1" w:rsidP="008C41FD">
            <w:pPr>
              <w:jc w:val="right"/>
              <w:rPr>
                <w:rFonts w:asciiTheme="minorHAnsi" w:hAnsiTheme="minorHAnsi" w:cs="Arial"/>
                <w:sz w:val="22"/>
                <w:lang w:eastAsia="cs-CZ"/>
              </w:rPr>
            </w:pPr>
            <w:r w:rsidRPr="00447F37">
              <w:rPr>
                <w:rFonts w:asciiTheme="minorHAnsi" w:hAnsiTheme="minorHAnsi" w:cs="Arial"/>
                <w:sz w:val="22"/>
                <w:lang w:eastAsia="cs-CZ"/>
              </w:rPr>
              <w:t>1 845 900</w:t>
            </w:r>
          </w:p>
        </w:tc>
      </w:tr>
      <w:tr w:rsidR="006D03C1" w:rsidRPr="00447F37" w:rsidTr="006D03C1">
        <w:trPr>
          <w:trHeight w:val="25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6D03C1" w:rsidRPr="00447F37" w:rsidRDefault="006D03C1" w:rsidP="008C41FD">
            <w:pPr>
              <w:rPr>
                <w:rFonts w:asciiTheme="minorHAnsi" w:hAnsiTheme="minorHAnsi" w:cs="Arial"/>
                <w:b/>
                <w:bCs/>
                <w:sz w:val="22"/>
                <w:lang w:eastAsia="cs-CZ"/>
              </w:rPr>
            </w:pPr>
            <w:r w:rsidRPr="00447F37">
              <w:rPr>
                <w:rFonts w:asciiTheme="minorHAnsi" w:hAnsiTheme="minorHAnsi" w:cs="Arial"/>
                <w:b/>
                <w:bCs/>
                <w:sz w:val="22"/>
                <w:lang w:eastAsia="cs-CZ"/>
              </w:rPr>
              <w:t>státní dotace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03C1" w:rsidRPr="00447F37" w:rsidRDefault="006D03C1" w:rsidP="008C41FD">
            <w:pPr>
              <w:jc w:val="right"/>
              <w:rPr>
                <w:rFonts w:asciiTheme="minorHAnsi" w:hAnsiTheme="minorHAnsi" w:cs="Arial"/>
                <w:b/>
                <w:bCs/>
                <w:sz w:val="22"/>
                <w:lang w:eastAsia="cs-CZ"/>
              </w:rPr>
            </w:pPr>
            <w:r w:rsidRPr="00447F37">
              <w:rPr>
                <w:rFonts w:asciiTheme="minorHAnsi" w:hAnsiTheme="minorHAnsi" w:cs="Arial"/>
                <w:b/>
                <w:bCs/>
                <w:sz w:val="22"/>
                <w:lang w:eastAsia="cs-CZ"/>
              </w:rPr>
              <w:t>60 058 000</w:t>
            </w:r>
          </w:p>
        </w:tc>
      </w:tr>
    </w:tbl>
    <w:p w:rsidR="006D03C1" w:rsidRDefault="006D03C1"/>
    <w:p w:rsidR="001D4771" w:rsidRDefault="001D4771"/>
    <w:p w:rsidR="001D4771" w:rsidRDefault="006D03C1">
      <w:r>
        <w:t>Daně a odvody:</w:t>
      </w:r>
    </w:p>
    <w:p w:rsidR="006D03C1" w:rsidRDefault="006D03C1"/>
    <w:p w:rsidR="006D03C1" w:rsidRPr="006D03C1" w:rsidRDefault="006D03C1" w:rsidP="006D03C1">
      <w:pPr>
        <w:tabs>
          <w:tab w:val="left" w:pos="4465"/>
        </w:tabs>
        <w:ind w:left="55"/>
        <w:jc w:val="left"/>
        <w:rPr>
          <w:rFonts w:ascii="Calibri" w:eastAsia="Times New Roman" w:hAnsi="Calibri" w:cs="Times New Roman"/>
          <w:color w:val="000000"/>
          <w:sz w:val="22"/>
          <w:lang w:eastAsia="cs-CZ"/>
        </w:rPr>
      </w:pPr>
      <w:r w:rsidRPr="006D03C1">
        <w:rPr>
          <w:rFonts w:ascii="Calibri" w:eastAsia="Times New Roman" w:hAnsi="Calibri" w:cs="Times New Roman"/>
          <w:b/>
          <w:bCs/>
          <w:color w:val="000000"/>
          <w:sz w:val="22"/>
          <w:lang w:eastAsia="cs-CZ"/>
        </w:rPr>
        <w:t>NADĚJE CELKEM</w:t>
      </w:r>
      <w:r w:rsidRPr="006D03C1">
        <w:rPr>
          <w:rFonts w:ascii="Calibri" w:eastAsia="Times New Roman" w:hAnsi="Calibri" w:cs="Times New Roman"/>
          <w:b/>
          <w:bCs/>
          <w:color w:val="000000"/>
          <w:sz w:val="22"/>
          <w:lang w:eastAsia="cs-CZ"/>
        </w:rPr>
        <w:tab/>
      </w:r>
      <w:r w:rsidRPr="006D03C1">
        <w:rPr>
          <w:rFonts w:ascii="Calibri" w:eastAsia="Times New Roman" w:hAnsi="Calibri" w:cs="Times New Roman"/>
          <w:color w:val="000000"/>
          <w:sz w:val="22"/>
          <w:lang w:eastAsia="cs-CZ"/>
        </w:rPr>
        <w:t>zaokrouhleno na celé stokoruny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0"/>
        <w:gridCol w:w="1417"/>
        <w:gridCol w:w="4111"/>
      </w:tblGrid>
      <w:tr w:rsidR="006D03C1" w:rsidRPr="006D03C1" w:rsidTr="006D03C1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v Kč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poznámky</w:t>
            </w:r>
          </w:p>
        </w:tc>
      </w:tr>
      <w:tr w:rsidR="006D03C1" w:rsidRPr="006D03C1" w:rsidTr="006D03C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Daň ze závislé činnost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6 813 700,00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odváděné daně za zaměstnance </w:t>
            </w:r>
          </w:p>
        </w:tc>
      </w:tr>
      <w:tr w:rsidR="006D03C1" w:rsidRPr="006D03C1" w:rsidTr="006D03C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Zdravotní a sociální pojištění za zaměstnavatele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34 311 500,00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odváděné pojištění za zaměstnavatele</w:t>
            </w:r>
          </w:p>
        </w:tc>
      </w:tr>
      <w:tr w:rsidR="006D03C1" w:rsidRPr="006D03C1" w:rsidTr="006D03C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Zdravotní a sociální pojištění za zaměstnance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10 858 200,00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odváděné pojištění za zaměstnance</w:t>
            </w:r>
          </w:p>
        </w:tc>
      </w:tr>
      <w:tr w:rsidR="006D03C1" w:rsidRPr="006D03C1" w:rsidTr="006D03C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DPH z přijatých plnění (faktur a nákupů) 10%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1 530 600,00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DPH na vstupu u osvobozených plnění</w:t>
            </w:r>
            <w:r w:rsidR="00BF0C7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*)</w:t>
            </w:r>
          </w:p>
        </w:tc>
      </w:tr>
      <w:tr w:rsidR="006D03C1" w:rsidRPr="006D03C1" w:rsidTr="006D03C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DPH z přijatých plnění (faktur a nákupů) 20%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5 789 900,00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DPH na vstupu u osvobozených plnění</w:t>
            </w:r>
            <w:r w:rsidR="00BF0C74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*)</w:t>
            </w:r>
          </w:p>
        </w:tc>
      </w:tr>
      <w:tr w:rsidR="006D03C1" w:rsidRPr="006D03C1" w:rsidTr="006D03C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Odvedená DPH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519 500,00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z vedlejší činnosti a obědů pro zaměstnance</w:t>
            </w:r>
          </w:p>
        </w:tc>
      </w:tr>
      <w:tr w:rsidR="006D03C1" w:rsidRPr="006D03C1" w:rsidTr="006D03C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Odvedená silniční daň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51 700,00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6D03C1" w:rsidRPr="006D03C1" w:rsidTr="006D03C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Spotřební daň za PHM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339 000,00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6D03C1" w:rsidRPr="006D03C1" w:rsidTr="006D03C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Zaplacená daň z plynu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110 900,00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6D03C1" w:rsidRPr="006D03C1" w:rsidTr="006D03C1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60 325 000,00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C1" w:rsidRPr="006D03C1" w:rsidRDefault="006D03C1" w:rsidP="006D03C1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6D03C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</w:tr>
    </w:tbl>
    <w:p w:rsidR="006D03C1" w:rsidRDefault="006D03C1"/>
    <w:p w:rsidR="006D03C1" w:rsidRDefault="00BF0C74">
      <w:r>
        <w:t xml:space="preserve">*) Nárok na odpočet na výstupu </w:t>
      </w:r>
      <w:r w:rsidR="00962CF8">
        <w:t xml:space="preserve">u osvobozených plnění </w:t>
      </w:r>
      <w:r>
        <w:t xml:space="preserve">v sociálních službách není. </w:t>
      </w:r>
    </w:p>
    <w:p w:rsidR="00DF2F70" w:rsidRDefault="00DF2F70"/>
    <w:p w:rsidR="00DF2F70" w:rsidRDefault="00DF2F70"/>
    <w:p w:rsidR="00DF2F70" w:rsidRDefault="00DF2F70">
      <w:r>
        <w:t xml:space="preserve">V Praze dne 9. března 2012 </w:t>
      </w:r>
    </w:p>
    <w:p w:rsidR="00DF2F70" w:rsidRDefault="00DF2F70"/>
    <w:p w:rsidR="00DF2F70" w:rsidRDefault="00DF2F70">
      <w:r>
        <w:t>Zpracoval Mgr. Ilja Hradecký, předseda Naděje o.s.</w:t>
      </w:r>
      <w:r w:rsidR="00A3355B">
        <w:t>, tel. 222 521 110</w:t>
      </w:r>
    </w:p>
    <w:sectPr w:rsidR="00DF2F70" w:rsidSect="006D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C29AF"/>
    <w:multiLevelType w:val="hybridMultilevel"/>
    <w:tmpl w:val="8E5869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1D4771"/>
    <w:rsid w:val="000235C2"/>
    <w:rsid w:val="00082108"/>
    <w:rsid w:val="000F144F"/>
    <w:rsid w:val="0019047B"/>
    <w:rsid w:val="001D4771"/>
    <w:rsid w:val="001E3219"/>
    <w:rsid w:val="001E5A8B"/>
    <w:rsid w:val="0028389A"/>
    <w:rsid w:val="002B01B5"/>
    <w:rsid w:val="002C338E"/>
    <w:rsid w:val="00311D79"/>
    <w:rsid w:val="00314444"/>
    <w:rsid w:val="00337C95"/>
    <w:rsid w:val="00360E26"/>
    <w:rsid w:val="003940E5"/>
    <w:rsid w:val="003F3339"/>
    <w:rsid w:val="00447E81"/>
    <w:rsid w:val="00447F37"/>
    <w:rsid w:val="00451992"/>
    <w:rsid w:val="00451B66"/>
    <w:rsid w:val="004628D2"/>
    <w:rsid w:val="004F5360"/>
    <w:rsid w:val="005359D6"/>
    <w:rsid w:val="00550270"/>
    <w:rsid w:val="0055212A"/>
    <w:rsid w:val="0058238C"/>
    <w:rsid w:val="005B7D66"/>
    <w:rsid w:val="005C322A"/>
    <w:rsid w:val="00642370"/>
    <w:rsid w:val="006837F0"/>
    <w:rsid w:val="006C1AA2"/>
    <w:rsid w:val="006D03C1"/>
    <w:rsid w:val="00743202"/>
    <w:rsid w:val="0074390C"/>
    <w:rsid w:val="00757E23"/>
    <w:rsid w:val="007C4BF2"/>
    <w:rsid w:val="00896977"/>
    <w:rsid w:val="00897E7E"/>
    <w:rsid w:val="00962CF8"/>
    <w:rsid w:val="00990E25"/>
    <w:rsid w:val="0099333F"/>
    <w:rsid w:val="009A162F"/>
    <w:rsid w:val="009A7C43"/>
    <w:rsid w:val="009B4211"/>
    <w:rsid w:val="009C2A48"/>
    <w:rsid w:val="009F7F88"/>
    <w:rsid w:val="00A01C78"/>
    <w:rsid w:val="00A234DF"/>
    <w:rsid w:val="00A3355B"/>
    <w:rsid w:val="00AB5560"/>
    <w:rsid w:val="00AD2EE1"/>
    <w:rsid w:val="00AE26AC"/>
    <w:rsid w:val="00AF3E76"/>
    <w:rsid w:val="00B010A1"/>
    <w:rsid w:val="00B13D36"/>
    <w:rsid w:val="00B447F4"/>
    <w:rsid w:val="00B817F8"/>
    <w:rsid w:val="00BB320E"/>
    <w:rsid w:val="00BD5E6C"/>
    <w:rsid w:val="00BF0398"/>
    <w:rsid w:val="00BF0C74"/>
    <w:rsid w:val="00C14C16"/>
    <w:rsid w:val="00C3595F"/>
    <w:rsid w:val="00C44FDE"/>
    <w:rsid w:val="00C573E4"/>
    <w:rsid w:val="00C801F4"/>
    <w:rsid w:val="00CF3C38"/>
    <w:rsid w:val="00D877DD"/>
    <w:rsid w:val="00DA522A"/>
    <w:rsid w:val="00DE292B"/>
    <w:rsid w:val="00DF2F70"/>
    <w:rsid w:val="00E3084B"/>
    <w:rsid w:val="00EE2F70"/>
    <w:rsid w:val="00F31E65"/>
    <w:rsid w:val="00F91064"/>
    <w:rsid w:val="00FE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7F8"/>
    <w:pPr>
      <w:jc w:val="both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573E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C573E4"/>
    <w:rPr>
      <w:rFonts w:ascii="Verdana" w:hAnsi="Verdana"/>
      <w:i/>
      <w:iCs/>
      <w:color w:val="808080" w:themeColor="text1" w:themeTint="7F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573E4"/>
    <w:rPr>
      <w:rFonts w:ascii="Verdana" w:eastAsiaTheme="majorEastAsia" w:hAnsi="Verdana" w:cstheme="majorBidi"/>
      <w:b/>
      <w:bCs/>
      <w:sz w:val="20"/>
      <w:szCs w:val="28"/>
    </w:rPr>
  </w:style>
  <w:style w:type="paragraph" w:styleId="Odstavecseseznamem">
    <w:name w:val="List Paragraph"/>
    <w:basedOn w:val="Normln"/>
    <w:uiPriority w:val="34"/>
    <w:qFormat/>
    <w:rsid w:val="00337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Ilja Hradecký</dc:creator>
  <cp:lastModifiedBy>I</cp:lastModifiedBy>
  <cp:revision>46</cp:revision>
  <dcterms:created xsi:type="dcterms:W3CDTF">2012-02-20T08:56:00Z</dcterms:created>
  <dcterms:modified xsi:type="dcterms:W3CDTF">2012-03-09T16:20:00Z</dcterms:modified>
</cp:coreProperties>
</file>